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A04A33" w:rsidRDefault="00A04A33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</w:t>
      </w:r>
      <w:r w:rsidR="00CA2583" w:rsidRPr="00CA2583">
        <w:rPr>
          <w:rFonts w:ascii="Arial" w:hAnsi="Arial" w:cs="Arial"/>
          <w:b/>
          <w:bCs/>
          <w:sz w:val="28"/>
          <w:szCs w:val="28"/>
        </w:rPr>
        <w:t xml:space="preserve"> 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CA2583" w:rsidRPr="00443D35">
        <w:rPr>
          <w:rFonts w:ascii="Arial" w:hAnsi="Arial" w:cs="Arial"/>
          <w:b/>
          <w:vertAlign w:val="superscript"/>
        </w:rPr>
        <w:t>ο</w:t>
      </w:r>
      <w:r w:rsidR="00CA2583" w:rsidRPr="00443D35">
        <w:rPr>
          <w:rFonts w:ascii="Arial" w:hAnsi="Arial" w:cs="Arial"/>
          <w:b/>
        </w:rPr>
        <w:t xml:space="preserve"> ΓΥΜΝΑΣΙΟ ΒΡΟΝΤΑΔΟΥ  ΧΙΟΥ</w:t>
      </w:r>
    </w:p>
    <w:p w:rsidR="00F114B5" w:rsidRPr="00A04A33" w:rsidRDefault="008C6F3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 w:rsidR="00A04A33">
        <w:rPr>
          <w:rFonts w:ascii="Arial" w:hAnsi="Arial" w:cs="Arial"/>
          <w:b/>
          <w:bCs/>
          <w:sz w:val="28"/>
          <w:szCs w:val="28"/>
        </w:rPr>
        <w:t>ΘΕΣΣΑΛΟΝΙΚΗ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Χρονική/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ές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Η </w:t>
            </w:r>
            <w:r w:rsidR="00F114B5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εκδρομή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θα έχει ημερομηνία αρχής την</w:t>
            </w:r>
            <w:r w:rsidR="009B32B6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="00DA3CD2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20/04</w:t>
            </w:r>
            <w:r w:rsidR="003C624A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/2016</w:t>
            </w:r>
            <w:r w:rsidR="009B32B6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="00211A3C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με ημερομηνία τέλους την </w:t>
            </w:r>
            <w:r w:rsidR="00DA3CD2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24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</w:t>
            </w:r>
            <w:r w:rsidR="00CA258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04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</w:t>
            </w:r>
            <w:r w:rsidR="003C624A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CA2583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127FB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47</w:t>
            </w:r>
            <w:r w:rsidR="00CA258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Μαθητές</w:t>
            </w:r>
            <w:r w:rsidR="003410E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(24 αγόρια και 23</w:t>
            </w:r>
            <w:r w:rsidR="00D20B2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κορίτσια)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524674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52467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="00D20B2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74" w:rsidRPr="00772254" w:rsidRDefault="00671330" w:rsidP="00524674">
            <w:pPr>
              <w:ind w:left="360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Χερσαία </w:t>
            </w:r>
            <w:r w:rsidR="00F114B5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 Τ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 οχήματα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</w:t>
            </w:r>
            <w:r w:rsidR="00127FB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775227" w:rsidP="00524674">
            <w:pPr>
              <w:ind w:left="360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ό</w:t>
            </w:r>
            <w:r w:rsidR="0052467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πως στο πρόγραμμα για μετακινήσεις εντός και εκτός πόλεως</w:t>
            </w:r>
            <w:r w:rsidR="001A35E7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,</w:t>
            </w:r>
            <w:r w:rsidR="0052467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ελεύθερου ωραρίου </w:t>
            </w:r>
            <w:r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και χωρίς επιβάρυνση για επιπλέο</w:t>
            </w:r>
            <w:r w:rsidR="0052467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ν οδηγούς.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500DB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</w:t>
            </w:r>
            <w:r w:rsidR="00AF4B99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εροπορική</w:t>
            </w:r>
            <w:r w:rsidR="008C6F35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(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Χίος - </w:t>
            </w:r>
            <w:r w:rsidR="00AF4B99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Θεσσαλονίκη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- </w:t>
            </w:r>
            <w:r w:rsidR="008C6F35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Χίος)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αεροπορικών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ή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Τα προσφερόμενα οχήματα</w:t>
            </w:r>
            <w:r w:rsidR="00865C6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να είναι μονώροφα</w:t>
            </w:r>
            <w:r w:rsidR="00D20B2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και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να διαθέτουν, τουλάχιστον, τις ακόλουθες προδιαγραφές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Κλιματισμό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Να διαθέτουν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υποχρεωτικά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: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lastRenderedPageBreak/>
              <w:t xml:space="preserve">Πρόσφατο και σε ισχύ ΚΤΕΟ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Οι οδηγοί να διαθέτουν</w:t>
            </w:r>
            <w:r w:rsidR="00A04A33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1.5.1 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Τετάρτη</w:t>
            </w:r>
          </w:p>
          <w:p w:rsidR="00801421" w:rsidRPr="00772254" w:rsidRDefault="00CA2583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20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04/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201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83" w:rsidRPr="00772254" w:rsidRDefault="00CA2583" w:rsidP="00CA2583">
            <w:pPr>
              <w:jc w:val="both"/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</w:pP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Συγκέντρωση στο αεροδρόμιο «Όμηρος» της Χίου και αναχώρηση ώρα 9.15 με την πτήση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Astra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Airlines</w:t>
            </w:r>
            <w:r w:rsidR="00775227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για </w:t>
            </w:r>
            <w:proofErr w:type="spellStart"/>
            <w:r w:rsidR="00775227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Θε</w:t>
            </w:r>
            <w:r w:rsidR="001A35E7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σ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/νίκη. Άφιξη στη Θεσσαλονίκη 10.15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. επιβίβαση στο πούλμαν και μεταφορά στο ξενοδοχείο.</w:t>
            </w:r>
          </w:p>
          <w:p w:rsidR="00801421" w:rsidRPr="00772254" w:rsidRDefault="00CA2583" w:rsidP="00CA2583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Διαδρομή 45΄. Άφιξη στο ξενοδοχείο παραλαβή δωματίων, διανυκτέρευση</w:t>
            </w:r>
            <w:r w:rsidRPr="00772254">
              <w:rPr>
                <w:rFonts w:ascii="Georgia" w:hAnsi="Georgia"/>
                <w:b/>
                <w:color w:val="00FF00" w:themeColor="text1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211A3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Θεσσαλονίκη</w:t>
            </w:r>
          </w:p>
          <w:p w:rsidR="00801421" w:rsidRPr="00772254" w:rsidRDefault="00443D35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FF00" w:themeColor="text1"/>
                <w:sz w:val="24"/>
                <w:szCs w:val="24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(20-04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-16) Άφιξη στο ξενοδοχείο, παραλαβή δωματίων. Βόλτα και φαγητό στην πόλη, επιστροφή και διανυκτέρευση στο ξενοδοχείο.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1.5.2 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Πέμπτη</w:t>
            </w:r>
          </w:p>
          <w:p w:rsidR="00801421" w:rsidRPr="00772254" w:rsidRDefault="00CA2583" w:rsidP="00CA2583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21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04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83" w:rsidRPr="00772254" w:rsidRDefault="00CA2583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Πρωινό στο ξενοδοχείο, αναχώρηση για το πλανητάριο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Noesis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(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τεχνοπάρκο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, προσομοιωτής, προβολή ταινίας). Ώρα 11.00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π.μ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(επίσκεψη στο κτήμα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Ζιώγα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-άφιξη-διάφορες δραστηριότητες- φαγητό-καφές). Ώρα 18.00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. αναχώρηση για Θεσσαλονίκη , άφιξη στο ξενοδοχείο στις 18.30΄ , 9:30΄ έξοδος για φαγητό- επιστροφή , διανυκτέρευση στο ξενοδοχείο</w:t>
            </w:r>
            <w:r w:rsidRPr="00772254">
              <w:rPr>
                <w:rFonts w:ascii="Georgia" w:hAnsi="Georgia"/>
                <w:b/>
                <w:color w:val="00FF00" w:themeColor="text1"/>
              </w:rPr>
              <w:t xml:space="preserve">.     </w:t>
            </w:r>
            <w:r w:rsidRPr="00772254">
              <w:rPr>
                <w:rFonts w:ascii="Georgia" w:hAnsi="Georgia"/>
                <w:b/>
                <w:color w:val="00FF00" w:themeColor="text1"/>
              </w:rPr>
              <w:br/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9D4909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1.5.3 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Παρασκευή</w:t>
            </w:r>
          </w:p>
          <w:p w:rsidR="00801421" w:rsidRPr="00772254" w:rsidRDefault="00CA2583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22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/0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CA2583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πρωινό στο ξενοδοχείο, αναχώρηση για σπήλαιο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Αλιστράτης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Διαδρομή 1.00΄. Επίσκεψη στο σπήλαιο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Αλιστράτης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_ περιήγηση με το τρενάκι στο φαράγγι του ποταμού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Αγγίτη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Χρόνος παραμονής 3.00 ώρες. Ώρα 14.00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αναχώρηση για τη λίμνη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Κερκίνη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, φαγητό στη διαδρομή ή στην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Κερκίνη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, άφιξη στις 16.30΄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Παρατήρηση πανίδας από τη στεριά με τηλεσκόπια-περιήγηση με βάρκες, παραμονή έως τις 19.00΄. Ώρα 19.30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lastRenderedPageBreak/>
              <w:t>αναχώρηση για Θεσσαλονίκη. Φαγητό, διανυκτέρευση στο ξενοδοχείο</w:t>
            </w:r>
            <w:r w:rsidRPr="00772254">
              <w:rPr>
                <w:rFonts w:ascii="Georgia" w:hAnsi="Georgia"/>
                <w:b/>
                <w:color w:val="00FF00" w:themeColor="text1"/>
              </w:rPr>
              <w:t>.</w:t>
            </w:r>
            <w:r w:rsidRPr="00772254">
              <w:rPr>
                <w:rFonts w:ascii="Georgia" w:hAnsi="Georgia"/>
                <w:b/>
                <w:color w:val="00FF00" w:themeColor="text1"/>
              </w:rPr>
              <w:br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lastRenderedPageBreak/>
              <w:t> 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D20B2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Σάββατο</w:t>
            </w:r>
          </w:p>
          <w:p w:rsidR="00801421" w:rsidRPr="00772254" w:rsidRDefault="00CA2583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23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0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="00801421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</w:t>
            </w:r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πρωινό στο ξενοδοχείο. Αναχώρηση για τον αρχαιολογικό χώρο της Βεργίνας_ άφιξη στις 9.30 </w:t>
            </w:r>
            <w:proofErr w:type="spellStart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π.μ</w:t>
            </w:r>
            <w:proofErr w:type="spellEnd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ξενάγηση με ξεναγό_ επίσκεψη στο γύρω αρχαιολογικό χώρο, αναχώρηση γύρω στις 11.30΄. Άφιξη στην Έδεσσα_ επίσκεψη στους καταρράκτες. Καφέ στο γειτνιάζον «μπαρ. Φαγητό σε </w:t>
            </w:r>
            <w:proofErr w:type="spellStart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συννενόηση</w:t>
            </w:r>
            <w:proofErr w:type="spellEnd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με το Δήμο Έδεσσας. Ώρα 16.30. Επιστροφή στη Θεσσαλονίκη- Βόλτα στο εμπορικό κέντρο </w:t>
            </w:r>
            <w:proofErr w:type="spellStart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mediteraniancosmos</w:t>
            </w:r>
            <w:proofErr w:type="spellEnd"/>
            <w:r w:rsidR="00CA2583"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. Δείπνο σε κέντρο με μουσική. Επιστροφή, διανυκτέρευση στο ξενοδοχείο</w:t>
            </w:r>
            <w:r w:rsidR="00CA2583" w:rsidRPr="00772254">
              <w:rPr>
                <w:rFonts w:ascii="Georgia" w:hAnsi="Georgia"/>
                <w:b/>
                <w:color w:val="00FF00" w:themeColor="text1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827A27" w:rsidRPr="00772254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Κυριακή </w:t>
            </w:r>
          </w:p>
          <w:p w:rsidR="00827A27" w:rsidRPr="00772254" w:rsidRDefault="00CA2583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/0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="00827A27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/2016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583" w:rsidRPr="00772254" w:rsidRDefault="00CA2583" w:rsidP="00CA2583">
            <w:pPr>
              <w:jc w:val="both"/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</w:pP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Πρωινό στο ξενοδοχείο ετοιμασία αποσκευών, αναχώρηση από το ξενοδοχείο. Ξενάγηση στην πόλη της Θεσσαλονίκης από ξεναγό: Ροτόντα-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Αγ.Δημήτριος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- Αρχαία Αγορά- Αψίδα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Γαλέριου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- Λευκός Πύργος- πρόχειρο φαγητό. Αναχώρηση για τη Χίο ώρα 7.30 </w:t>
            </w:r>
            <w:proofErr w:type="spellStart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>μ.μ</w:t>
            </w:r>
            <w:proofErr w:type="spellEnd"/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. με την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Astra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Airlines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 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  <w:lang w:val="en-US"/>
              </w:rPr>
              <w:t>A</w:t>
            </w:r>
            <w:r w:rsidRPr="00772254">
              <w:rPr>
                <w:rFonts w:ascii="Georgia" w:hAnsi="Georgia"/>
                <w:b/>
                <w:color w:val="00FF00" w:themeColor="text1"/>
                <w:sz w:val="20"/>
                <w:szCs w:val="20"/>
                <w:u w:val="none"/>
              </w:rPr>
              <w:t xml:space="preserve">2 204 πτήση. Προβλεπόμενη άφιξη στη Χίο στις 20.40 της Κυριακής (24/4/16). </w:t>
            </w:r>
          </w:p>
          <w:p w:rsidR="00827A27" w:rsidRPr="00772254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7F3085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lastRenderedPageBreak/>
              <w:t> 2.1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772254" w:rsidRDefault="00AD409B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772254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772254" w:rsidRDefault="008975C5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5</w:t>
            </w:r>
            <w:r w:rsidR="00443D35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αστέρων</w:t>
            </w:r>
            <w:r w:rsidR="004946CC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="00827A27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στο κέντρο της πόλης</w:t>
            </w:r>
            <w:r w:rsidR="00524674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σε δίκλινα ή τρίκλινα δωμάτια για τους μαθητές και μονόκλινα για τους συνοδούς καθηγητές.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993F5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Το κατάλυμα να βρίσκεται σε περιοχή </w:t>
            </w:r>
            <w:r w:rsidR="005B0462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που</w:t>
            </w:r>
            <w:r w:rsidR="00BC4C82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ενδείκνυ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F7008A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.3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5B0462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Οι χώροι που προσφέρονται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.4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524674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90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524674" w:rsidRPr="00772254" w:rsidRDefault="00524674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Μαθητές και καθηγητές να βρίσκονται σε ένα όροφο του ξενοδοχείου,</w:t>
            </w:r>
            <w:r w:rsidR="00AD332D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στον ίδιο</w:t>
            </w:r>
            <w:r w:rsidR="001A35E7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ή και μέχρι σε δύο </w:t>
            </w:r>
            <w:proofErr w:type="spellStart"/>
            <w:r w:rsidR="001A35E7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διαδοχικούς,α</w:t>
            </w: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πό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τους πρώτους ορόφους του ξενοδοχείου για την ασφάλειά τους.</w:t>
            </w:r>
          </w:p>
        </w:tc>
        <w:tc>
          <w:tcPr>
            <w:tcW w:w="4223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5760"/>
        <w:gridCol w:w="3060"/>
      </w:tblGrid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772254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προσφερομένων 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υπηρεσιών</w:t>
            </w:r>
            <w:r w:rsidR="00AD332D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,ίδιοι</w:t>
            </w:r>
            <w:proofErr w:type="spellEnd"/>
            <w:r w:rsidR="00AD332D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αμερικάνικου τύπου με μπουφέ(όπως αυτό περιγράφεται από τους κανονισμούς των ξενοδοχείων).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772254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FF00" w:themeColor="text1"/>
          <w:spacing w:val="20"/>
          <w:sz w:val="18"/>
          <w:szCs w:val="18"/>
        </w:rPr>
      </w:pP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FF00" w:themeColor="text1"/>
          <w:spacing w:val="20"/>
          <w:sz w:val="18"/>
          <w:szCs w:val="18"/>
        </w:rPr>
      </w:pP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FF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ind w:left="993"/>
        <w:rPr>
          <w:rFonts w:ascii="Arial" w:hAnsi="Arial" w:cs="Arial"/>
          <w:b/>
          <w:color w:val="00FF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FF00" w:themeColor="text1"/>
          <w:spacing w:val="20"/>
          <w:sz w:val="24"/>
          <w:szCs w:val="24"/>
        </w:rPr>
        <w:t xml:space="preserve">Β) </w:t>
      </w:r>
      <w:r w:rsidRPr="00772254">
        <w:rPr>
          <w:rFonts w:ascii="Arial" w:hAnsi="Arial" w:cs="Arial"/>
          <w:b/>
          <w:color w:val="00FF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spacing w:line="280" w:lineRule="atLeast"/>
        <w:rPr>
          <w:rFonts w:ascii="Arial" w:hAnsi="Arial" w:cs="Arial"/>
          <w:b/>
          <w:bCs/>
          <w:color w:val="00FF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FF00" w:themeColor="text1"/>
          <w:sz w:val="18"/>
          <w:szCs w:val="18"/>
        </w:rPr>
      </w:pPr>
      <w:r w:rsidRPr="00772254">
        <w:rPr>
          <w:rFonts w:ascii="Arial" w:hAnsi="Arial" w:cs="Arial"/>
          <w:b/>
          <w:bCs/>
          <w:color w:val="00FF00" w:themeColor="text1"/>
          <w:sz w:val="18"/>
          <w:szCs w:val="18"/>
        </w:rPr>
        <w:t>ΠΙΝΑΚΑΣ ΟΙΚΟΝΟΜΙΚΗΣ ΠΡΟΣΦΟΡΑΣ</w:t>
      </w:r>
    </w:p>
    <w:p w:rsidR="00671330" w:rsidRPr="00772254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FF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772254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ΠΛΗΘΟΣ</w:t>
            </w:r>
          </w:p>
        </w:tc>
      </w:tr>
      <w:tr w:rsidR="00671330" w:rsidRPr="00772254" w:rsidTr="00C75B7E">
        <w:trPr>
          <w:trHeight w:val="40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72254" w:rsidRDefault="00AD332D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</w:tr>
      <w:tr w:rsidR="00C75B7E" w:rsidRPr="00772254" w:rsidTr="00C75B7E">
        <w:trPr>
          <w:trHeight w:val="405"/>
        </w:trPr>
        <w:tc>
          <w:tcPr>
            <w:tcW w:w="2682" w:type="dxa"/>
          </w:tcPr>
          <w:p w:rsidR="00C75B7E" w:rsidRPr="00772254" w:rsidRDefault="00C75B7E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772254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772254" w:rsidTr="00C75B7E">
        <w:trPr>
          <w:trHeight w:val="437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72254" w:rsidRDefault="00CA2583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="00AD332D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7</w:t>
            </w:r>
          </w:p>
        </w:tc>
      </w:tr>
      <w:tr w:rsidR="00671330" w:rsidRPr="00772254" w:rsidTr="00C75B7E">
        <w:trPr>
          <w:trHeight w:val="45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72254" w:rsidRDefault="00AD332D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51</w:t>
            </w: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  <w:lang w:val="en-US"/>
        </w:rPr>
      </w:pPr>
    </w:p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C75B7E" w:rsidRPr="00772254" w:rsidRDefault="00C75B7E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p w:rsidR="00C75B7E" w:rsidRPr="00772254" w:rsidRDefault="00C75B7E" w:rsidP="0002505E">
      <w:pPr>
        <w:spacing w:line="280" w:lineRule="atLeast"/>
        <w:rPr>
          <w:rFonts w:ascii="Arial" w:hAnsi="Arial" w:cs="Arial"/>
          <w:b/>
          <w:color w:val="00FF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772254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ΜΕΣΟ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ΣΥΝΟΛΙΚΟ 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(με ΦΠΑ)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(4)*(6)</w:t>
            </w:r>
          </w:p>
        </w:tc>
      </w:tr>
      <w:tr w:rsidR="00671330" w:rsidRPr="00772254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C75B7E">
            <w:pPr>
              <w:spacing w:line="280" w:lineRule="atLeast"/>
              <w:jc w:val="both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Όπως περιγράφονται στο παραπάνω 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πρό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-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γραμμα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της εκδρομής και αφορούν στις με-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τακινήσεις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 xml:space="preserve"> εντός των περιοχών που </w:t>
            </w:r>
            <w:proofErr w:type="spellStart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ανα</w:t>
            </w:r>
            <w:proofErr w:type="spellEnd"/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-φέρονται, και από και προς το αεροδρόμιο Θεσσαλονίκης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ΑΤΟΜΩΝ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(1)*(2)*(6)</w:t>
            </w:r>
          </w:p>
        </w:tc>
      </w:tr>
      <w:tr w:rsidR="00C75B7E" w:rsidRPr="00772254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772254" w:rsidRDefault="00AD332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A2583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  <w:lang w:val="en-US"/>
              </w:rPr>
              <w:t>4</w:t>
            </w:r>
            <w:r w:rsidR="00AD332D"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FF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(2)*(6)</w:t>
            </w: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lang w:val="en-US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lastRenderedPageBreak/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443D3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  <w:lang w:val="en-US"/>
              </w:rPr>
              <w:t>5</w:t>
            </w:r>
            <w:r w:rsidR="00AD332D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443D3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  <w:lang w:val="en-US"/>
              </w:rPr>
              <w:t>5</w:t>
            </w:r>
            <w:r w:rsidR="00AD332D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 </w:t>
            </w:r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  <w:lang w:val="en-US"/>
              </w:rPr>
              <w:t>M</w:t>
            </w:r>
            <w:r w:rsidR="00AD409B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ΕΧΡΙ </w:t>
            </w:r>
            <w:r w:rsidR="0084713B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ΤΕΤΑΡΤΗ</w:t>
            </w:r>
            <w:r w:rsidR="00AD409B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 </w:t>
            </w:r>
            <w:r w:rsidR="0084713B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24</w:t>
            </w:r>
            <w:r w:rsidR="00AD409B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/02/2016 ΚΑΙ ΩΡΑ 12:00</w:t>
            </w:r>
          </w:p>
          <w:p w:rsidR="002E62DD" w:rsidRPr="00772254" w:rsidRDefault="002E62DD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Τηλέφωνο επικοινωνίας με τον</w:t>
            </w:r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 </w:t>
            </w:r>
            <w:proofErr w:type="spellStart"/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Κ.Ιωάννη</w:t>
            </w:r>
            <w:proofErr w:type="spellEnd"/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 </w:t>
            </w:r>
            <w:proofErr w:type="spellStart"/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>Ρόκο</w:t>
            </w:r>
            <w:proofErr w:type="spellEnd"/>
            <w:r w:rsidR="00443D35" w:rsidRPr="00772254">
              <w:rPr>
                <w:rFonts w:ascii="Arial" w:hAnsi="Arial" w:cs="Arial"/>
                <w:b/>
                <w:bCs/>
                <w:color w:val="00FF00" w:themeColor="text1"/>
                <w:sz w:val="18"/>
                <w:szCs w:val="18"/>
              </w:rPr>
              <w:t xml:space="preserve"> 22710-93287(σχολείου) 697 3053 271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FF00" w:themeColor="text1"/>
                <w:sz w:val="18"/>
                <w:szCs w:val="18"/>
              </w:rPr>
            </w:pPr>
          </w:p>
        </w:tc>
      </w:tr>
    </w:tbl>
    <w:p w:rsidR="00801421" w:rsidRPr="00772254" w:rsidRDefault="00801421" w:rsidP="0002505E">
      <w:pPr>
        <w:spacing w:line="280" w:lineRule="atLeast"/>
        <w:rPr>
          <w:rFonts w:ascii="Arial" w:hAnsi="Arial" w:cs="Arial"/>
          <w:b/>
          <w:bCs/>
          <w:color w:val="00FF00" w:themeColor="text1"/>
          <w:sz w:val="24"/>
          <w:szCs w:val="24"/>
        </w:rPr>
      </w:pPr>
    </w:p>
    <w:p w:rsidR="00671330" w:rsidRPr="00772254" w:rsidRDefault="00443D35" w:rsidP="0002505E">
      <w:pPr>
        <w:spacing w:line="280" w:lineRule="atLeast"/>
        <w:rPr>
          <w:rFonts w:ascii="Arial" w:hAnsi="Arial" w:cs="Arial"/>
          <w:b/>
          <w:bCs/>
          <w:color w:val="00FF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</w:rPr>
        <w:t xml:space="preserve"> ΣΗΜΕΙΩΣΕΙΣ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Α) Ο </w:t>
      </w: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Πίνακας Απαιτήσεων Προσφοράς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αναπτύσσεται ως εξής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ΑΠΑΙΤΗΣΗ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ΑΠΑΝΤΗΣΗ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772254" w:rsidRDefault="00F26B0B" w:rsidP="0002505E">
      <w:pPr>
        <w:spacing w:line="280" w:lineRule="atLeast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</w:p>
    <w:p w:rsidR="00F8502F" w:rsidRPr="00772254" w:rsidRDefault="00671330" w:rsidP="00F8502F">
      <w:pPr>
        <w:rPr>
          <w:rFonts w:ascii="Arial" w:hAnsi="Arial"/>
          <w:b/>
          <w:color w:val="00FF00" w:themeColor="text1"/>
          <w:sz w:val="20"/>
          <w:szCs w:val="20"/>
          <w:u w:val="none"/>
        </w:rPr>
      </w:pP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Χρόνος και τόπος υποβολής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="00801421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των κλειστών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προσφορών </w:t>
      </w:r>
      <w:r w:rsidR="00801421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και των δικαιολογητικών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ορίζεται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η </w:t>
      </w:r>
      <w:r w:rsidR="0084713B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ΤΕΤΑΡΤΗ  24</w:t>
      </w:r>
      <w:r w:rsidR="00F8502F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- 02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- 2016 και ώρα: 12:00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στο</w:t>
      </w:r>
      <w:r w:rsidR="00313B57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="00F8502F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Γυμνάσιο 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="00F8502F" w:rsidRPr="00772254">
        <w:rPr>
          <w:rFonts w:ascii="Arial" w:hAnsi="Arial"/>
          <w:b/>
          <w:color w:val="00FF00" w:themeColor="text1"/>
          <w:sz w:val="20"/>
          <w:szCs w:val="20"/>
          <w:u w:val="none"/>
        </w:rPr>
        <w:t>ΒΡΟΝΤΑΔΟΥ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 xml:space="preserve">  Παναγία </w:t>
      </w:r>
      <w:proofErr w:type="spellStart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Μούτσαινα</w:t>
      </w:r>
      <w:proofErr w:type="spellEnd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 xml:space="preserve">  ΒΡΟΝΤΑΔΟΣ  Τ.Κ 822 00 </w:t>
      </w:r>
      <w:proofErr w:type="spellStart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Τηλ</w:t>
      </w:r>
      <w:proofErr w:type="spellEnd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 xml:space="preserve">. 22710 – 93287 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Fax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 xml:space="preserve">. 22710 – 93287 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e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-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 xml:space="preserve">: 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@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gym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-</w:t>
      </w:r>
      <w:proofErr w:type="spellStart"/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vront</w:t>
      </w:r>
      <w:proofErr w:type="spellEnd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.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chi</w:t>
      </w:r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.</w:t>
      </w:r>
      <w:proofErr w:type="spellStart"/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sch</w:t>
      </w:r>
      <w:proofErr w:type="spellEnd"/>
      <w:r w:rsidR="00F8502F" w:rsidRPr="00772254">
        <w:rPr>
          <w:rFonts w:ascii="Arial" w:hAnsi="Arial"/>
          <w:b/>
          <w:color w:val="00FF00" w:themeColor="text1"/>
          <w:sz w:val="22"/>
          <w:u w:val="none"/>
        </w:rPr>
        <w:t>.</w:t>
      </w:r>
      <w:proofErr w:type="spellStart"/>
      <w:r w:rsidR="00F8502F" w:rsidRPr="00772254">
        <w:rPr>
          <w:rFonts w:ascii="Arial" w:hAnsi="Arial"/>
          <w:b/>
          <w:color w:val="00FF00" w:themeColor="text1"/>
          <w:sz w:val="22"/>
          <w:u w:val="none"/>
          <w:lang w:val="en-US"/>
        </w:rPr>
        <w:t>gr</w:t>
      </w:r>
      <w:proofErr w:type="spellEnd"/>
    </w:p>
    <w:p w:rsidR="00F8502F" w:rsidRPr="00772254" w:rsidRDefault="00F8502F" w:rsidP="00F8502F">
      <w:pPr>
        <w:jc w:val="center"/>
        <w:rPr>
          <w:b/>
          <w:color w:val="00FF00" w:themeColor="text1"/>
          <w:sz w:val="20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Σημειώνεται πως το </w:t>
      </w: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ΣΥΝΟΛΙΚΟ ΠΟΣΟ ΟΙΚΟΝΟΜΙΚΗΣ</w:t>
      </w:r>
      <w:r w:rsidR="005B62BD"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 xml:space="preserve"> &amp; ΠΟΙΟΤΙΚΗΣ </w:t>
      </w: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  <w:u w:val="none"/>
        </w:rPr>
        <w:t>ΠΡΟΣΦΟΡΑΣ (συμπεριλαμβανομένου του ΦΠΑ)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είναι το μοναδικό κριτήριο της α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ξιολόγησης του παρόντος μειοδοτικού διαγωνισμού.</w:t>
      </w:r>
      <w:r w:rsidR="001B705D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Θα παρακαλούσαμε στην προσφορά να αναγράφεται και τιμή</w:t>
      </w:r>
      <w:r w:rsidR="00AD332D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με ημιδιατροφή και χωρίς αυτήν,</w:t>
      </w:r>
      <w:r w:rsidR="0084713B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r w:rsidR="00AD332D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όπως και η διαμονή σε διαφορετικά ξενοδοχεία.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</w:p>
    <w:p w:rsidR="00180828" w:rsidRPr="00772254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από τον διευθυντ</w:t>
      </w:r>
      <w:r w:rsidR="00D34C9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ή του σχολείου </w:t>
      </w:r>
      <w:proofErr w:type="spellStart"/>
      <w:r w:rsidR="00D34C9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Ιωαννη</w:t>
      </w:r>
      <w:proofErr w:type="spellEnd"/>
      <w:r w:rsidR="00D34C9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</w:t>
      </w:r>
      <w:proofErr w:type="spellStart"/>
      <w:r w:rsidR="00D34C9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>Ροκου</w:t>
      </w:r>
      <w:proofErr w:type="spellEnd"/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στο τη</w:t>
      </w:r>
      <w:r w:rsidR="00D34C98"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λέφωνο του σχολείου : 2271093287 </w:t>
      </w:r>
      <w:r w:rsidRPr="00772254">
        <w:rPr>
          <w:rFonts w:ascii="Arial" w:hAnsi="Arial" w:cs="Arial"/>
          <w:b/>
          <w:color w:val="00FF00" w:themeColor="text1"/>
          <w:sz w:val="24"/>
          <w:szCs w:val="24"/>
          <w:u w:val="none"/>
        </w:rPr>
        <w:t xml:space="preserve"> από 08:00 έως 14:00.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FF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color w:val="00FF00" w:themeColor="text1"/>
          <w:sz w:val="24"/>
          <w:szCs w:val="24"/>
        </w:rPr>
      </w:pPr>
    </w:p>
    <w:p w:rsidR="00671330" w:rsidRPr="00772254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color w:val="00FF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FF00" w:themeColor="text1"/>
          <w:sz w:val="24"/>
          <w:szCs w:val="24"/>
        </w:rPr>
        <w:t>Η Προσφορά κατατίθεται σε ένα (1) πρωτότυπο και δύο (2) αντίγραφα</w:t>
      </w:r>
      <w:r w:rsidRPr="00772254">
        <w:rPr>
          <w:rFonts w:ascii="Arial" w:hAnsi="Arial" w:cs="Arial"/>
          <w:color w:val="00FF00" w:themeColor="text1"/>
          <w:sz w:val="24"/>
          <w:szCs w:val="24"/>
          <w:u w:val="none"/>
        </w:rPr>
        <w:t xml:space="preserve"> </w:t>
      </w:r>
    </w:p>
    <w:sectPr w:rsidR="00671330" w:rsidRPr="00772254" w:rsidSect="00AA47CD">
      <w:footerReference w:type="default" r:id="rId8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59" w:rsidRDefault="008B0759" w:rsidP="000C19AA">
      <w:r>
        <w:separator/>
      </w:r>
    </w:p>
  </w:endnote>
  <w:endnote w:type="continuationSeparator" w:id="0">
    <w:p w:rsidR="008B0759" w:rsidRDefault="008B0759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AA4EBE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91383B">
      <w:rPr>
        <w:rFonts w:ascii="Arial" w:hAnsi="Arial" w:cs="Arial"/>
        <w:b/>
        <w:noProof/>
        <w:sz w:val="24"/>
        <w:szCs w:val="24"/>
        <w:u w:val="none"/>
      </w:rPr>
      <w:t>7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59" w:rsidRDefault="008B0759" w:rsidP="000C19AA">
      <w:r>
        <w:separator/>
      </w:r>
    </w:p>
  </w:footnote>
  <w:footnote w:type="continuationSeparator" w:id="0">
    <w:p w:rsidR="008B0759" w:rsidRDefault="008B0759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23516"/>
    <w:rsid w:val="0002505E"/>
    <w:rsid w:val="00060816"/>
    <w:rsid w:val="00085A9F"/>
    <w:rsid w:val="000C19AA"/>
    <w:rsid w:val="000D3904"/>
    <w:rsid w:val="00120324"/>
    <w:rsid w:val="00126958"/>
    <w:rsid w:val="00127FB4"/>
    <w:rsid w:val="00146190"/>
    <w:rsid w:val="00175987"/>
    <w:rsid w:val="00180828"/>
    <w:rsid w:val="0019689B"/>
    <w:rsid w:val="00196D36"/>
    <w:rsid w:val="001971DC"/>
    <w:rsid w:val="001A03F9"/>
    <w:rsid w:val="001A35E7"/>
    <w:rsid w:val="001A628A"/>
    <w:rsid w:val="001B705D"/>
    <w:rsid w:val="001C0E5A"/>
    <w:rsid w:val="001E4856"/>
    <w:rsid w:val="00211A3C"/>
    <w:rsid w:val="00213587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493B"/>
    <w:rsid w:val="00337B58"/>
    <w:rsid w:val="003410E4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24542"/>
    <w:rsid w:val="00435526"/>
    <w:rsid w:val="00442BC1"/>
    <w:rsid w:val="00443D35"/>
    <w:rsid w:val="004510F5"/>
    <w:rsid w:val="0047615E"/>
    <w:rsid w:val="00485EFC"/>
    <w:rsid w:val="00491EBC"/>
    <w:rsid w:val="004946CC"/>
    <w:rsid w:val="004D26C9"/>
    <w:rsid w:val="00500DB0"/>
    <w:rsid w:val="005105F2"/>
    <w:rsid w:val="00513AFB"/>
    <w:rsid w:val="00524674"/>
    <w:rsid w:val="005500D3"/>
    <w:rsid w:val="00564139"/>
    <w:rsid w:val="00564BF4"/>
    <w:rsid w:val="00583198"/>
    <w:rsid w:val="00587B1C"/>
    <w:rsid w:val="005931CF"/>
    <w:rsid w:val="00593CA1"/>
    <w:rsid w:val="005B0462"/>
    <w:rsid w:val="005B4D03"/>
    <w:rsid w:val="005B62BD"/>
    <w:rsid w:val="005D0604"/>
    <w:rsid w:val="005E0333"/>
    <w:rsid w:val="005E31CB"/>
    <w:rsid w:val="005E3833"/>
    <w:rsid w:val="005F36AC"/>
    <w:rsid w:val="00645FE8"/>
    <w:rsid w:val="00652A1B"/>
    <w:rsid w:val="0066277C"/>
    <w:rsid w:val="006660C5"/>
    <w:rsid w:val="00671330"/>
    <w:rsid w:val="00684F9A"/>
    <w:rsid w:val="006B4EF0"/>
    <w:rsid w:val="006D2D39"/>
    <w:rsid w:val="006E5F8E"/>
    <w:rsid w:val="00702F33"/>
    <w:rsid w:val="00713002"/>
    <w:rsid w:val="00751D1D"/>
    <w:rsid w:val="007718BC"/>
    <w:rsid w:val="00772254"/>
    <w:rsid w:val="00775227"/>
    <w:rsid w:val="007C23CF"/>
    <w:rsid w:val="007C4D53"/>
    <w:rsid w:val="007E4184"/>
    <w:rsid w:val="007E41B6"/>
    <w:rsid w:val="007E4A91"/>
    <w:rsid w:val="007F3085"/>
    <w:rsid w:val="00801421"/>
    <w:rsid w:val="00827A27"/>
    <w:rsid w:val="00833C32"/>
    <w:rsid w:val="00843CF7"/>
    <w:rsid w:val="0084713B"/>
    <w:rsid w:val="00865C64"/>
    <w:rsid w:val="008665D0"/>
    <w:rsid w:val="008975C5"/>
    <w:rsid w:val="008B0759"/>
    <w:rsid w:val="008C6F35"/>
    <w:rsid w:val="008D0C1D"/>
    <w:rsid w:val="008E5525"/>
    <w:rsid w:val="0091383B"/>
    <w:rsid w:val="009154AA"/>
    <w:rsid w:val="0092626E"/>
    <w:rsid w:val="009518EB"/>
    <w:rsid w:val="009525DB"/>
    <w:rsid w:val="00960F0D"/>
    <w:rsid w:val="00993F5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37B33"/>
    <w:rsid w:val="00A42350"/>
    <w:rsid w:val="00A51D31"/>
    <w:rsid w:val="00A625D7"/>
    <w:rsid w:val="00A84C43"/>
    <w:rsid w:val="00AA47CD"/>
    <w:rsid w:val="00AA4EBE"/>
    <w:rsid w:val="00AC3413"/>
    <w:rsid w:val="00AD332D"/>
    <w:rsid w:val="00AD409B"/>
    <w:rsid w:val="00AD6C61"/>
    <w:rsid w:val="00AF4B99"/>
    <w:rsid w:val="00B0454C"/>
    <w:rsid w:val="00B06009"/>
    <w:rsid w:val="00B3019F"/>
    <w:rsid w:val="00B31B54"/>
    <w:rsid w:val="00B47260"/>
    <w:rsid w:val="00B67A8A"/>
    <w:rsid w:val="00B76143"/>
    <w:rsid w:val="00B95C04"/>
    <w:rsid w:val="00BB7CC5"/>
    <w:rsid w:val="00BC4C82"/>
    <w:rsid w:val="00C27E39"/>
    <w:rsid w:val="00C53D5B"/>
    <w:rsid w:val="00C6059A"/>
    <w:rsid w:val="00C63F28"/>
    <w:rsid w:val="00C73973"/>
    <w:rsid w:val="00C75B7E"/>
    <w:rsid w:val="00C86E26"/>
    <w:rsid w:val="00CA2583"/>
    <w:rsid w:val="00CB0FBA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3CD2"/>
    <w:rsid w:val="00DD05B9"/>
    <w:rsid w:val="00DD294E"/>
    <w:rsid w:val="00DF6916"/>
    <w:rsid w:val="00E67D2E"/>
    <w:rsid w:val="00E75FD2"/>
    <w:rsid w:val="00E867C2"/>
    <w:rsid w:val="00E925BF"/>
    <w:rsid w:val="00E97F4F"/>
    <w:rsid w:val="00ED0A01"/>
    <w:rsid w:val="00EF7952"/>
    <w:rsid w:val="00F114B5"/>
    <w:rsid w:val="00F11FE8"/>
    <w:rsid w:val="00F21C84"/>
    <w:rsid w:val="00F26B0B"/>
    <w:rsid w:val="00F32D06"/>
    <w:rsid w:val="00F527EC"/>
    <w:rsid w:val="00F55514"/>
    <w:rsid w:val="00F7008A"/>
    <w:rsid w:val="00F8502F"/>
    <w:rsid w:val="00F87ECB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8AD5-1D15-462E-88E5-5F6D247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8728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Dieuthintis</cp:lastModifiedBy>
  <cp:revision>4</cp:revision>
  <cp:lastPrinted>2016-02-15T08:52:00Z</cp:lastPrinted>
  <dcterms:created xsi:type="dcterms:W3CDTF">2016-02-15T08:44:00Z</dcterms:created>
  <dcterms:modified xsi:type="dcterms:W3CDTF">2016-02-15T08:52:00Z</dcterms:modified>
</cp:coreProperties>
</file>